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АРБИТРАЖНЫЙ СУД СЕВЕРО-ЗАПАДНОГО ОКРУГА</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15 января 2024 г. по делу N А56-17633/2023</w:t>
      </w:r>
    </w:p>
    <w:p>
      <w:pPr>
        <w:pStyle w:val="0"/>
        <w:ind w:firstLine="540"/>
        <w:jc w:val="both"/>
      </w:pPr>
      <w:r>
        <w:rPr>
          <w:sz w:val="24"/>
        </w:rPr>
      </w:r>
    </w:p>
    <w:p>
      <w:pPr>
        <w:pStyle w:val="0"/>
        <w:ind w:firstLine="540"/>
        <w:jc w:val="both"/>
      </w:pPr>
      <w:r>
        <w:rPr>
          <w:sz w:val="24"/>
        </w:rPr>
        <w:t xml:space="preserve">Резолютивная часть постановления объявлена 15 января 2024 года.</w:t>
      </w:r>
    </w:p>
    <w:p>
      <w:pPr>
        <w:pStyle w:val="0"/>
        <w:spacing w:before="240" w:line-rule="auto"/>
        <w:ind w:firstLine="540"/>
        <w:jc w:val="both"/>
      </w:pPr>
      <w:r>
        <w:rPr>
          <w:sz w:val="24"/>
        </w:rPr>
        <w:t xml:space="preserve">Постановление в полном объеме изготовлено 15 января 2024 года.</w:t>
      </w:r>
    </w:p>
    <w:p>
      <w:pPr>
        <w:pStyle w:val="0"/>
        <w:spacing w:before="240" w:line-rule="auto"/>
        <w:ind w:firstLine="540"/>
        <w:jc w:val="both"/>
      </w:pPr>
      <w:r>
        <w:rPr>
          <w:sz w:val="24"/>
        </w:rPr>
        <w:t xml:space="preserve">Арбитражный суд Северо-Западного округа в составе председательствующего Елагиной О.К., судей Малышевой Н.Н., Пряхиной Ю.В., при участии от Санкт-Петербургского государственного казенного учреждения "Дирекция транспортного строительства" Волжиной В.И. по доверенности от 22.12.2023 N 424, рассмотрев 15.01.2024 в открытом судебном заседании кассационную жалобу Санкт-Петербургского государственного казенного учреждения "Дирекция транспортного строительства" на </w:t>
      </w:r>
      <w:hyperlink w:history="0" r:id="rId6" w:tooltip="Решение Арбитражного суда города Санкт-Петербурга и Ленинградской области от 17.07.2023 по делу N А56-17633/2023 Категория спора: Подряд для государственных и муниципальных нужд. Требование: О признании недействительным односторонний отказ от исполнения контракта. Решение: В удовлетворении требования отказано. {КонсультантПлюс}">
        <w:r>
          <w:rPr>
            <w:sz w:val="24"/>
            <w:color w:val="0000ff"/>
          </w:rPr>
          <w:t xml:space="preserve">решение</w:t>
        </w:r>
      </w:hyperlink>
      <w:r>
        <w:rPr>
          <w:sz w:val="24"/>
        </w:rPr>
        <w:t xml:space="preserve"> Арбитражного суда города Санкт-Петербурга и Ленинградской области от 17.07.2023 и </w:t>
      </w:r>
      <w:hyperlink w:history="0" r:id="rId7" w:tooltip="Постановление Тринадцатого арбитражного апелляционного суда от 11.10.2023 N 13АП-28260/2023 по делу N А56-17633/2023 Категория спора: Подряд для государственных нужд. Требования заказчика: О признании недействительным одностороннего отказа от исполнения контракта. Обстоятельства: Отказ от контракта мотивирован тем, что заказчик в составе исходной документации не передал подрядчику проект планировки территории, который необходим для завершения работ и передачи подготовленной документации на экспертизу. Решен {КонсультантПлюс}">
        <w:r>
          <w:rPr>
            <w:sz w:val="24"/>
            <w:color w:val="0000ff"/>
          </w:rPr>
          <w:t xml:space="preserve">постановление</w:t>
        </w:r>
      </w:hyperlink>
      <w:r>
        <w:rPr>
          <w:sz w:val="24"/>
        </w:rPr>
        <w:t xml:space="preserve"> Тринадцатого арбитражного апелляционного суда от 11.10.2023 по делу N А56-17633/2023,</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Санкт-Петербургское государственное казенное учреждение "Дирекция транспортного строительства", адрес: 194044, Санкт-Петербург, Нейшлотский переулок, дом 8, ОГРН 1037843033029, ИНН 7825342390 (далее - Учреждение), обратилось в Арбитражный суд города Санкт-Петербурга и Ленинградской области с исковым заявлением к обществу с ограниченной ответственностью "ГеоКад", адрес: 191167, Санкт-Петербург, Тележная улица, дом 37г, помещение 1-Н/46, ОГРН 1127847383950, ИНН 7841467646 (далее - Общество), о признании одностороннего отказа от исполнения контракта от 22.06.2018 N П-51 (далее - контракт) недействительным.</w:t>
      </w:r>
    </w:p>
    <w:p>
      <w:pPr>
        <w:pStyle w:val="0"/>
        <w:spacing w:before="240" w:line-rule="auto"/>
        <w:ind w:firstLine="540"/>
        <w:jc w:val="both"/>
      </w:pPr>
      <w:hyperlink w:history="0" r:id="rId8" w:tooltip="Решение Арбитражного суда города Санкт-Петербурга и Ленинградской области от 17.07.2023 по делу N А56-17633/2023 Категория спора: Подряд для государственных и муниципальных нужд. Требование: О признании недействительным односторонний отказ от исполнения контракта. Решение: В удовлетворении требования отказано. {КонсультантПлюс}">
        <w:r>
          <w:rPr>
            <w:sz w:val="24"/>
            <w:color w:val="0000ff"/>
          </w:rPr>
          <w:t xml:space="preserve">Решением</w:t>
        </w:r>
      </w:hyperlink>
      <w:r>
        <w:rPr>
          <w:sz w:val="24"/>
        </w:rPr>
        <w:t xml:space="preserve"> Арбитражного суда города Санкт-Петербурга и Ленинградской области от 17.07.2023, оставленным без изменения </w:t>
      </w:r>
      <w:hyperlink w:history="0" r:id="rId9" w:tooltip="Постановление Тринадцатого арбитражного апелляционного суда от 11.10.2023 N 13АП-28260/2023 по делу N А56-17633/2023 Категория спора: Подряд для государственных нужд. Требования заказчика: О признании недействительным одностороннего отказа от исполнения контракта. Обстоятельства: Отказ от контракта мотивирован тем, что заказчик в составе исходной документации не передал подрядчику проект планировки территории, который необходим для завершения работ и передачи подготовленной документации на экспертизу. Решен {КонсультантПлюс}">
        <w:r>
          <w:rPr>
            <w:sz w:val="24"/>
            <w:color w:val="0000ff"/>
          </w:rPr>
          <w:t xml:space="preserve">постановлением</w:t>
        </w:r>
      </w:hyperlink>
      <w:r>
        <w:rPr>
          <w:sz w:val="24"/>
        </w:rPr>
        <w:t xml:space="preserve"> Тринадцатого арбитражного апелляционного суда от 11.10.2023, в удовлетворении исковых требований отказано.</w:t>
      </w:r>
    </w:p>
    <w:p>
      <w:pPr>
        <w:pStyle w:val="0"/>
        <w:spacing w:before="240" w:line-rule="auto"/>
        <w:ind w:firstLine="540"/>
        <w:jc w:val="both"/>
      </w:pPr>
      <w:r>
        <w:rPr>
          <w:sz w:val="24"/>
        </w:rPr>
        <w:t xml:space="preserve">Оспаривая законность вынесенных судами первой и апелляционной инстанций судебных актов, Учреждение обратилось в Арбитражный суд Северо-Западного округа с кассационной жалобой, в которой, ссылаясь на несоответствие выводов, изложенных в обжалуемых судебных актах, фактическим обстоятельствам дела, а также на неправильное применение судами норм материального и процессуального права, просит </w:t>
      </w:r>
      <w:hyperlink w:history="0" r:id="rId10" w:tooltip="Решение Арбитражного суда города Санкт-Петербурга и Ленинградской области от 17.07.2023 по делу N А56-17633/2023 Категория спора: Подряд для государственных и муниципальных нужд. Требование: О признании недействительным односторонний отказ от исполнения контракта. Решение: В удовлетворении требования отказано. {КонсультантПлюс}">
        <w:r>
          <w:rPr>
            <w:sz w:val="24"/>
            <w:color w:val="0000ff"/>
          </w:rPr>
          <w:t xml:space="preserve">решение</w:t>
        </w:r>
      </w:hyperlink>
      <w:r>
        <w:rPr>
          <w:sz w:val="24"/>
        </w:rPr>
        <w:t xml:space="preserve"> Арбитражного суда города Санкт-Петербурга и Ленинградской области от 17.07.2023 и </w:t>
      </w:r>
      <w:hyperlink w:history="0" r:id="rId11" w:tooltip="Постановление Тринадцатого арбитражного апелляционного суда от 11.10.2023 N 13АП-28260/2023 по делу N А56-17633/2023 Категория спора: Подряд для государственных нужд. Требования заказчика: О признании недействительным одностороннего отказа от исполнения контракта. Обстоятельства: Отказ от контракта мотивирован тем, что заказчик в составе исходной документации не передал подрядчику проект планировки территории, который необходим для завершения работ и передачи подготовленной документации на экспертизу. Решен {КонсультантПлюс}">
        <w:r>
          <w:rPr>
            <w:sz w:val="24"/>
            <w:color w:val="0000ff"/>
          </w:rPr>
          <w:t xml:space="preserve">постановление</w:t>
        </w:r>
      </w:hyperlink>
      <w:r>
        <w:rPr>
          <w:sz w:val="24"/>
        </w:rPr>
        <w:t xml:space="preserve"> Тринадцатого арбитражного апелляционного суда от 11.10.2023 отменить, принять новый судебный акт об удовлетворении исковых требований.</w:t>
      </w:r>
    </w:p>
    <w:p>
      <w:pPr>
        <w:pStyle w:val="0"/>
        <w:spacing w:before="240" w:line-rule="auto"/>
        <w:ind w:firstLine="540"/>
        <w:jc w:val="both"/>
      </w:pPr>
      <w:r>
        <w:rPr>
          <w:sz w:val="24"/>
        </w:rPr>
        <w:t xml:space="preserve">Податель кассационной жалобы считает, что работы, связанные с проведением государственной экспертизы, и работы, которые невозможно выполнить без наличия проекта планировки территории по объекту, ответчиком не были приостановлены до момента исполнения встречного обязательства. Полагает, что риск наступления неблагоприятных последствий должен нести ответчик, как профессиональный участник рынка оказания услуг в соответствующей области.</w:t>
      </w:r>
    </w:p>
    <w:p>
      <w:pPr>
        <w:pStyle w:val="0"/>
        <w:spacing w:before="240" w:line-rule="auto"/>
        <w:ind w:firstLine="540"/>
        <w:jc w:val="both"/>
      </w:pPr>
      <w:r>
        <w:rPr>
          <w:sz w:val="24"/>
        </w:rPr>
        <w:t xml:space="preserve">Представитель Учреждения в судебном заседании кассационной инстанции поддержал доводы жалобы в полном объеме.</w:t>
      </w:r>
    </w:p>
    <w:p>
      <w:pPr>
        <w:pStyle w:val="0"/>
        <w:spacing w:before="240" w:line-rule="auto"/>
        <w:ind w:firstLine="540"/>
        <w:jc w:val="both"/>
      </w:pPr>
      <w:r>
        <w:rPr>
          <w:sz w:val="24"/>
        </w:rPr>
        <w:t xml:space="preserve">Общество надлежащим образом извещено о месте и времени рассмотрения кассационной жалобы, в том числе путем публичного извещения на официальном сайте суда в сети Интернет, явку своего представителя в судебное заседание суда кассационной инстанции не обеспечило, что в соответствии с </w:t>
      </w:r>
      <w:hyperlink w:history="0" r:id="rId12" w:tooltip="&quot;Арбитражный процессуальный кодекс Российской Федерации&quot; от 24.07.2002 N 95-ФЗ (ред. от 25.12.2023) (с изм. и доп., вступ. в силу с 05.01.2024) ------------ Недействующая редакция {КонсультантПлюс}">
        <w:r>
          <w:rPr>
            <w:sz w:val="24"/>
            <w:color w:val="0000ff"/>
          </w:rPr>
          <w:t xml:space="preserve">частью 3 статьи 284</w:t>
        </w:r>
      </w:hyperlink>
      <w:r>
        <w:rPr>
          <w:sz w:val="24"/>
        </w:rPr>
        <w:t xml:space="preserve"> Арбитражного процессуального кодекса Российской Федерации (далее - АПК РФ) не является препятствием для рассмотрения кассационной жалобы в его отсутствие.</w:t>
      </w:r>
    </w:p>
    <w:p>
      <w:pPr>
        <w:pStyle w:val="0"/>
        <w:spacing w:before="240" w:line-rule="auto"/>
        <w:ind w:firstLine="540"/>
        <w:jc w:val="both"/>
      </w:pPr>
      <w:r>
        <w:rPr>
          <w:sz w:val="24"/>
        </w:rPr>
        <w:t xml:space="preserve">По общему правилу арбитражный суд кассационной инстанции проверяет законность решений, постановлений, принятых арбитражными судами первой и апелляционной инстанций, исходя из доводов, содержащихся в кассационной жалобе и возражениях относительно жалобы (</w:t>
      </w:r>
      <w:hyperlink w:history="0" r:id="rId13" w:tooltip="&quot;Арбитражный процессуальный кодекс Российской Федерации&quot; от 24.07.2002 N 95-ФЗ (ред. от 25.12.2023) (с изм. и доп., вступ. в силу с 05.01.2024) ------------ Недействующая редакция {КонсультантПлюс}">
        <w:r>
          <w:rPr>
            <w:sz w:val="24"/>
            <w:color w:val="0000ff"/>
          </w:rPr>
          <w:t xml:space="preserve">часть 1 статьи 286</w:t>
        </w:r>
      </w:hyperlink>
      <w:r>
        <w:rPr>
          <w:sz w:val="24"/>
        </w:rPr>
        <w:t xml:space="preserve"> АПК РФ).</w:t>
      </w:r>
    </w:p>
    <w:p>
      <w:pPr>
        <w:pStyle w:val="0"/>
        <w:spacing w:before="240" w:line-rule="auto"/>
        <w:ind w:firstLine="540"/>
        <w:jc w:val="both"/>
      </w:pPr>
      <w:r>
        <w:rPr>
          <w:sz w:val="24"/>
        </w:rPr>
        <w:t xml:space="preserve">Изучив материалы дела и доводы, изложенные в кассационной жалобе, проверив в порядке, установленном </w:t>
      </w:r>
      <w:hyperlink w:history="0" r:id="rId14" w:tooltip="&quot;Арбитражный процессуальный кодекс Российской Федерации&quot; от 24.07.2002 N 95-ФЗ (ред. от 25.12.2023) (с изм. и доп., вступ. в силу с 05.01.2024) ------------ Недействующая редакция {КонсультантПлюс}">
        <w:r>
          <w:rPr>
            <w:sz w:val="24"/>
            <w:color w:val="0000ff"/>
          </w:rPr>
          <w:t xml:space="preserve">главой 35</w:t>
        </w:r>
      </w:hyperlink>
      <w:r>
        <w:rPr>
          <w:sz w:val="24"/>
        </w:rPr>
        <w:t xml:space="preserve"> АПК РФ, правильность применения судами норм материального и процессуального права, соответствие выводов судов о применении норм права установленным по делу фактическим обстоятельствам и имеющимся в деле доказательствам, заслушав представителя Учреждения, судебная коллегия пришла к следующим выводам.</w:t>
      </w:r>
    </w:p>
    <w:p>
      <w:pPr>
        <w:pStyle w:val="0"/>
        <w:spacing w:before="240" w:line-rule="auto"/>
        <w:ind w:firstLine="540"/>
        <w:jc w:val="both"/>
      </w:pPr>
      <w:r>
        <w:rPr>
          <w:sz w:val="24"/>
        </w:rPr>
        <w:t xml:space="preserve">Как установлено судами и видно из материалов дела, 22.06.2018 Учреждением (заказчиком), действующим от имени города федерального значения Санкт-Петербурга, и Обществом (подрядчиком) заключен контракт, по условиям которого заказчик поручает, обязуется принять и оплатить, а подрядчик - выполнить инженерные изыскания и разработать проектную документацию (далее - документация) по объекту "Строительство продолжения Софийской улицы до Московского шоссе, промышленной зоны "Металлострой". Вторая очередь - строительство продолжения Софийской улицы до пересечения с автодорогой на Колпино с устройством выхода в промзону "Металлострой" 2ПК (строительство автомобильной дороги от пересечения с Софийской улицей на ПК 60+22 до путепровода через ж.д. Санкт-Петербург - Москва (строительство трамвайной линии)" (далее - объект) для нужд Санкт-Петербурга в соответствии с заданием на выполнение инженерных изысканий и разработку проектной документации по объекту (далее - задание), календарным планом работ, строительными нормами и правилами, другими правовыми актами, действующими в сфере строительства и проектирования.</w:t>
      </w:r>
    </w:p>
    <w:p>
      <w:pPr>
        <w:pStyle w:val="0"/>
        <w:spacing w:before="240" w:line-rule="auto"/>
        <w:ind w:firstLine="540"/>
        <w:jc w:val="both"/>
      </w:pPr>
      <w:r>
        <w:rPr>
          <w:sz w:val="24"/>
        </w:rPr>
        <w:t xml:space="preserve">Согласно пункту 5 дополнительного соглашения от 06.12.2021 N 6-П-71 (далее - соглашение N 6) срок действия контракта установлен сторонами до 16.12.2022.</w:t>
      </w:r>
    </w:p>
    <w:p>
      <w:pPr>
        <w:pStyle w:val="0"/>
        <w:spacing w:before="240" w:line-rule="auto"/>
        <w:ind w:firstLine="540"/>
        <w:jc w:val="both"/>
      </w:pPr>
      <w:r>
        <w:rPr>
          <w:sz w:val="24"/>
        </w:rPr>
        <w:t xml:space="preserve">В силу пункта 10.1 контракта, изложенного в редакции соглашения N 6, контракт вступает в силу после его заключения сторонами и действует до полного исполнения сторонами своих обязательств или до его расторжения, но не позднее 16.12.2022. Окончание срока действия контракта не освобождает стороны от ответственности за его нарушение.</w:t>
      </w:r>
    </w:p>
    <w:p>
      <w:pPr>
        <w:pStyle w:val="0"/>
        <w:spacing w:before="240" w:line-rule="auto"/>
        <w:ind w:firstLine="540"/>
        <w:jc w:val="both"/>
      </w:pPr>
      <w:r>
        <w:rPr>
          <w:sz w:val="24"/>
        </w:rPr>
        <w:t xml:space="preserve">Как следует из пункта 8.5 контракта, подрядчик вправе принять решение об одностороннем отказе от исполнения контракта в соответствии со </w:t>
      </w:r>
      <w:hyperlink w:history="0" r:id="rId15"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статьей 719</w:t>
        </w:r>
      </w:hyperlink>
      <w:r>
        <w:rPr>
          <w:sz w:val="24"/>
        </w:rPr>
        <w:t xml:space="preserve"> Гражданского кодекса Российской Федерации (далее - ГК РФ).</w:t>
      </w:r>
    </w:p>
    <w:p>
      <w:pPr>
        <w:pStyle w:val="0"/>
        <w:spacing w:before="240" w:line-rule="auto"/>
        <w:ind w:firstLine="540"/>
        <w:jc w:val="both"/>
      </w:pPr>
      <w:r>
        <w:rPr>
          <w:sz w:val="24"/>
        </w:rPr>
        <w:t xml:space="preserve">Общество направило в адрес Учреждения письмо от 08.11.2022 N 2022-Г/2-1205 об отказе от исполнения контракта, в котором также указало, что работы по разработке проектной документации, в том числе инженерные изыскания, выполнены в полном объеме, что подтверждается актами сдачи-приемки работ; по состоянию на 08.11.2022 Учреждением не исполнена встречная обязанность представить в качестве исходных данных проект планировки территории.</w:t>
      </w:r>
    </w:p>
    <w:p>
      <w:pPr>
        <w:pStyle w:val="0"/>
        <w:spacing w:before="240" w:line-rule="auto"/>
        <w:ind w:firstLine="540"/>
        <w:jc w:val="both"/>
      </w:pPr>
      <w:r>
        <w:rPr>
          <w:sz w:val="24"/>
        </w:rPr>
        <w:t xml:space="preserve">Учреждение, полагая, что отказ Общества от исполнения контракта является недействительным, поскольку Обществу следовало заявить о приостановке работ до момента поступления испрашиваемых документов, обратилось в арбитражный суд с настоящим иском.</w:t>
      </w:r>
    </w:p>
    <w:p>
      <w:pPr>
        <w:pStyle w:val="0"/>
        <w:spacing w:before="240" w:line-rule="auto"/>
        <w:ind w:firstLine="540"/>
        <w:jc w:val="both"/>
      </w:pPr>
      <w:r>
        <w:rPr>
          <w:sz w:val="24"/>
        </w:rPr>
        <w:t xml:space="preserve">Суд первой инстанции, отказывая в удовлетворении исковых требований, исходил из того, что действия подрядчика, связанные с отказом от исполнения контракта, обусловлены неисполнением встречного обязательства.</w:t>
      </w:r>
    </w:p>
    <w:p>
      <w:pPr>
        <w:pStyle w:val="0"/>
        <w:spacing w:before="240" w:line-rule="auto"/>
        <w:ind w:firstLine="540"/>
        <w:jc w:val="both"/>
      </w:pPr>
      <w:r>
        <w:rPr>
          <w:sz w:val="24"/>
        </w:rPr>
        <w:t xml:space="preserve">Апелляционный суд, повторно рассматривая дело по имеющимся в деле доказательствам, согласился с выводом суда первой инстанции.</w:t>
      </w:r>
    </w:p>
    <w:p>
      <w:pPr>
        <w:pStyle w:val="0"/>
        <w:spacing w:before="240" w:line-rule="auto"/>
        <w:ind w:firstLine="540"/>
        <w:jc w:val="both"/>
      </w:pPr>
      <w:r>
        <w:rPr>
          <w:sz w:val="24"/>
        </w:rPr>
        <w:t xml:space="preserve">Арбитражный суд Северо-Западного округа, изучив материалы дела и проверив правильность применения судами первой и апелляционной инстанций норм материального и процессуального права, не находит оснований для удовлетворения кассационной жалобы.</w:t>
      </w:r>
    </w:p>
    <w:p>
      <w:pPr>
        <w:pStyle w:val="0"/>
        <w:spacing w:before="240" w:line-rule="auto"/>
        <w:ind w:firstLine="540"/>
        <w:jc w:val="both"/>
      </w:pPr>
      <w:r>
        <w:rPr>
          <w:sz w:val="24"/>
        </w:rPr>
        <w:t xml:space="preserve">Из материалов дела следует, что спорные правоотношения сторон возникли из контракта, правовое регулирование которого осуществляется нормами </w:t>
      </w:r>
      <w:hyperlink w:history="0" r:id="rId16"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главы 37</w:t>
        </w:r>
      </w:hyperlink>
      <w:r>
        <w:rPr>
          <w:sz w:val="24"/>
        </w:rPr>
        <w:t xml:space="preserve"> ГК РФ, а также общими положениями гражданского законодательства об обязательствах во взаимосвязи с положениями Федерального </w:t>
      </w:r>
      <w:hyperlink w:history="0" r:id="rId17" w:tooltip="Федеральный закон от 05.04.2013 N 44-ФЗ (ред. от 13.06.2023) &quot;О контрактной системе в сфере закупок товаров, работ, услуг для обеспечения государственных и муниципальных нужд&quot; (с изм. и доп., вступ. в силу с 01.07.2023) ------------ Недействующая редакция {КонсультантПлюс}">
        <w:r>
          <w:rPr>
            <w:sz w:val="24"/>
            <w:color w:val="0000ff"/>
          </w:rPr>
          <w:t xml:space="preserve">закона</w:t>
        </w:r>
      </w:hyperlink>
      <w:r>
        <w:rPr>
          <w:sz w:val="24"/>
        </w:rPr>
        <w:t xml:space="preserve"> от 05.04.2013 N 44-ФЗ "О контрактной системе в сфере закупок товаров, работ, услуг для обеспечения государственных и муниципальных нужд" (далее - Закон N 44-ФЗ).</w:t>
      </w:r>
    </w:p>
    <w:p>
      <w:pPr>
        <w:pStyle w:val="0"/>
        <w:spacing w:before="240" w:line-rule="auto"/>
        <w:ind w:firstLine="540"/>
        <w:jc w:val="both"/>
      </w:pPr>
      <w:r>
        <w:rPr>
          <w:sz w:val="24"/>
        </w:rPr>
        <w:t xml:space="preserve">В соответствии с </w:t>
      </w:r>
      <w:hyperlink w:history="0" r:id="rId18"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пунктом 1 статьи 708</w:t>
        </w:r>
      </w:hyperlink>
      <w:r>
        <w:rPr>
          <w:sz w:val="24"/>
        </w:rPr>
        <w:t xml:space="preserve"> ГК РФ в договоре подряда указываются начальный и конечный сроки выполнения работы.</w:t>
      </w:r>
    </w:p>
    <w:p>
      <w:pPr>
        <w:pStyle w:val="0"/>
        <w:spacing w:before="240" w:line-rule="auto"/>
        <w:ind w:firstLine="540"/>
        <w:jc w:val="both"/>
      </w:pPr>
      <w:r>
        <w:rPr>
          <w:sz w:val="24"/>
        </w:rPr>
        <w:t xml:space="preserve">В силу положений </w:t>
      </w:r>
      <w:hyperlink w:history="0" r:id="rId19"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статьи 740</w:t>
        </w:r>
      </w:hyperlink>
      <w:r>
        <w:rPr>
          <w:sz w:val="24"/>
        </w:rPr>
        <w:t xml:space="preserve"> ГК РФ по договору строительного подряда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pPr>
        <w:pStyle w:val="0"/>
        <w:spacing w:before="240" w:line-rule="auto"/>
        <w:ind w:firstLine="540"/>
        <w:jc w:val="both"/>
      </w:pPr>
      <w:r>
        <w:rPr>
          <w:sz w:val="24"/>
        </w:rPr>
        <w:t xml:space="preserve">Подрядчик обязан осуществлять строительство и связанные с ним работы в соответствии с технической документацией, определяющей объем, содержание работ и другие предъявляемые к ним требования, и со сметой, определяющей цену работ. При отсутствии иных указаний в договоре строительного подряда предполагается, что подрядчик обязан выполнить все работы, указанные в технической документации и в смете (</w:t>
      </w:r>
      <w:hyperlink w:history="0" r:id="rId20"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статья 743</w:t>
        </w:r>
      </w:hyperlink>
      <w:r>
        <w:rPr>
          <w:sz w:val="24"/>
        </w:rPr>
        <w:t xml:space="preserve"> ГК РФ).</w:t>
      </w:r>
    </w:p>
    <w:p>
      <w:pPr>
        <w:pStyle w:val="0"/>
        <w:spacing w:before="240" w:line-rule="auto"/>
        <w:ind w:firstLine="540"/>
        <w:jc w:val="both"/>
      </w:pPr>
      <w:r>
        <w:rPr>
          <w:sz w:val="24"/>
        </w:rPr>
        <w:t xml:space="preserve">В соответствии с </w:t>
      </w:r>
      <w:hyperlink w:history="0" r:id="rId21"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пунктом 2 статьи 763</w:t>
        </w:r>
      </w:hyperlink>
      <w:r>
        <w:rPr>
          <w:sz w:val="24"/>
        </w:rPr>
        <w:t xml:space="preserve"> ГК РФ по государственному или муниципальному контракту на выполнение подрядных работ для государственных или муниципальных нужд подрядчик обязуется выполнить строительные, проектные и другие связанные со строительством и ремонтом объектов производственного и непроизводственного характера работы и передать их государственному или муниципальному заказчику, а государственный или муниципальный заказчик обязуется принять выполненные работы и оплатить их или обеспечить их оплату.</w:t>
      </w:r>
    </w:p>
    <w:p>
      <w:pPr>
        <w:pStyle w:val="0"/>
        <w:spacing w:before="240" w:line-rule="auto"/>
        <w:ind w:firstLine="540"/>
        <w:jc w:val="both"/>
      </w:pPr>
      <w:r>
        <w:rPr>
          <w:sz w:val="24"/>
        </w:rPr>
        <w:t xml:space="preserve">Согласно </w:t>
      </w:r>
      <w:hyperlink w:history="0" r:id="rId22"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статье 758</w:t>
        </w:r>
      </w:hyperlink>
      <w:r>
        <w:rPr>
          <w:sz w:val="24"/>
        </w:rPr>
        <w:t xml:space="preserve"> ГК РФ по договору подряда на выполнение проектных и изыскательских работ подрядчик (проектировщик, изыскатель) обязуется по заданию заказчика разработать техническую документацию и (или) выполнить изыскательские работы, а заказчик обязуется принять и оплатить их результат.</w:t>
      </w:r>
    </w:p>
    <w:p>
      <w:pPr>
        <w:pStyle w:val="0"/>
        <w:spacing w:before="240" w:line-rule="auto"/>
        <w:ind w:firstLine="540"/>
        <w:jc w:val="both"/>
      </w:pPr>
      <w:r>
        <w:rPr>
          <w:sz w:val="24"/>
        </w:rPr>
        <w:t xml:space="preserve">Заказчик обязан передать подрядчику задание на проектирование, а также иные исходные данные, необходимые для составления технической документации (</w:t>
      </w:r>
      <w:hyperlink w:history="0" r:id="rId23"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пункт 1 статьи 759</w:t>
        </w:r>
      </w:hyperlink>
      <w:r>
        <w:rPr>
          <w:sz w:val="24"/>
        </w:rPr>
        <w:t xml:space="preserve"> ГК РФ).</w:t>
      </w:r>
    </w:p>
    <w:p>
      <w:pPr>
        <w:pStyle w:val="0"/>
        <w:spacing w:before="240" w:line-rule="auto"/>
        <w:ind w:firstLine="540"/>
        <w:jc w:val="both"/>
      </w:pPr>
      <w:r>
        <w:rPr>
          <w:sz w:val="24"/>
        </w:rPr>
        <w:t xml:space="preserve">Основания и порядок изменения и расторжения договора и отказ от договора (исполнения договора) регулируются </w:t>
      </w:r>
      <w:hyperlink w:history="0" r:id="rId24" w:tooltip="&quot;Гражданский кодекс Российской Федерации (часть первая)&quot; от 30.11.1994 N 51-ФЗ (ред. от 14.04.2023, с изм. от 16.05.2023) (с изм. и доп., вступ. в силу с 28.04.2023) ------------ Недействующая редакция {КонсультантПлюс}">
        <w:r>
          <w:rPr>
            <w:sz w:val="24"/>
            <w:color w:val="0000ff"/>
          </w:rPr>
          <w:t xml:space="preserve">статьями 450</w:t>
        </w:r>
      </w:hyperlink>
      <w:r>
        <w:rPr>
          <w:sz w:val="24"/>
        </w:rPr>
        <w:t xml:space="preserve"> и </w:t>
      </w:r>
      <w:hyperlink w:history="0" r:id="rId25" w:tooltip="&quot;Гражданский кодекс Российской Федерации (часть первая)&quot; от 30.11.1994 N 51-ФЗ (ред. от 14.04.2023, с изм. от 16.05.2023) (с изм. и доп., вступ. в силу с 28.04.2023) ------------ Недействующая редакция {КонсультантПлюс}">
        <w:r>
          <w:rPr>
            <w:sz w:val="24"/>
            <w:color w:val="0000ff"/>
          </w:rPr>
          <w:t xml:space="preserve">450.1</w:t>
        </w:r>
      </w:hyperlink>
      <w:r>
        <w:rPr>
          <w:sz w:val="24"/>
        </w:rPr>
        <w:t xml:space="preserve"> ГК РФ, которыми в том числе прямо установлено требование о том, что при осуществлении права на одностороннее изменение условий договора, а также права на отказ от договора (исполнения договора) сторона должна действовать добросовестно и разумно в пределах, предусмотренных настоящим </w:t>
      </w:r>
      <w:hyperlink w:history="0" r:id="rId26" w:tooltip="&quot;Гражданский кодекс Российской Федерации (часть первая)&quot; от 30.11.1994 N 51-ФЗ (ред. от 14.04.2023, с изм. от 16.05.2023) (с изм. и доп., вступ. в силу с 28.04.2023) ------------ Недействующая редакция {КонсультантПлюс}">
        <w:r>
          <w:rPr>
            <w:sz w:val="24"/>
            <w:color w:val="0000ff"/>
          </w:rPr>
          <w:t xml:space="preserve">Кодексом</w:t>
        </w:r>
      </w:hyperlink>
      <w:r>
        <w:rPr>
          <w:sz w:val="24"/>
        </w:rPr>
        <w:t xml:space="preserve">, другими законами, иными правовыми актами (при осуществлении права на отказ от договора) или договором.</w:t>
      </w:r>
    </w:p>
    <w:p>
      <w:pPr>
        <w:pStyle w:val="0"/>
        <w:spacing w:before="240" w:line-rule="auto"/>
        <w:ind w:firstLine="540"/>
        <w:jc w:val="both"/>
      </w:pPr>
      <w:r>
        <w:rPr>
          <w:sz w:val="24"/>
        </w:rPr>
        <w:t xml:space="preserve">Согласно </w:t>
      </w:r>
      <w:hyperlink w:history="0" r:id="rId27" w:tooltip="Федеральный закон от 05.04.2013 N 44-ФЗ (ред. от 13.06.2023) &quot;О контрактной системе в сфере закупок товаров, работ, услуг для обеспечения государственных и муниципальных нужд&quot; (с изм. и доп., вступ. в силу с 01.07.2023) ------------ Недействующая редакция {КонсультантПлюс}">
        <w:r>
          <w:rPr>
            <w:sz w:val="24"/>
            <w:color w:val="0000ff"/>
          </w:rPr>
          <w:t xml:space="preserve">части 8 статьи 95</w:t>
        </w:r>
      </w:hyperlink>
      <w:r>
        <w:rPr>
          <w:sz w:val="24"/>
        </w:rPr>
        <w:t xml:space="preserve"> Закона N 44-ФЗ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pPr>
        <w:pStyle w:val="0"/>
        <w:spacing w:before="240" w:line-rule="auto"/>
        <w:ind w:firstLine="540"/>
        <w:jc w:val="both"/>
      </w:pPr>
      <w:r>
        <w:rPr>
          <w:sz w:val="24"/>
        </w:rPr>
        <w:t xml:space="preserve">В силу </w:t>
      </w:r>
      <w:hyperlink w:history="0" r:id="rId28"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пункта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29" w:tooltip="&quot;Гражданский кодекс Российской Федерации (часть первая)&quot; от 30.11.1994 N 51-ФЗ (ред. от 14.04.2023, с изм. от 16.05.2023) (с изм. и доп., вступ. в силу с 28.04.2023) ------------ Недействующая редакция {КонсультантПлюс}">
        <w:r>
          <w:rPr>
            <w:sz w:val="24"/>
            <w:color w:val="0000ff"/>
          </w:rPr>
          <w:t xml:space="preserve">статья 328</w:t>
        </w:r>
      </w:hyperlink>
      <w:r>
        <w:rPr>
          <w:sz w:val="24"/>
        </w:rPr>
        <w:t xml:space="preserve"> ГК РФ).</w:t>
      </w:r>
    </w:p>
    <w:p>
      <w:pPr>
        <w:pStyle w:val="0"/>
        <w:spacing w:before="240" w:line-rule="auto"/>
        <w:ind w:firstLine="540"/>
        <w:jc w:val="both"/>
      </w:pPr>
      <w:r>
        <w:rPr>
          <w:sz w:val="24"/>
        </w:rPr>
        <w:t xml:space="preserve">На основании </w:t>
      </w:r>
      <w:hyperlink w:history="0" r:id="rId30"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пункта 2 статьи 719</w:t>
        </w:r>
      </w:hyperlink>
      <w:r>
        <w:rPr>
          <w:sz w:val="24"/>
        </w:rPr>
        <w:t xml:space="preserve"> ГК РФ если иное не предусмотрено договором подряда, подрядчик при наличии обстоятельств, указанных в </w:t>
      </w:r>
      <w:hyperlink w:history="0" r:id="rId31"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пункте 1 указанной статьи</w:t>
        </w:r>
      </w:hyperlink>
      <w:r>
        <w:rPr>
          <w:sz w:val="24"/>
        </w:rPr>
        <w:t xml:space="preserve">, вправе отказаться от исполнения договора и потребовать возмещения убытков.</w:t>
      </w:r>
    </w:p>
    <w:p>
      <w:pPr>
        <w:pStyle w:val="0"/>
        <w:spacing w:before="240" w:line-rule="auto"/>
        <w:ind w:firstLine="540"/>
        <w:jc w:val="both"/>
      </w:pPr>
      <w:hyperlink w:history="0" r:id="rId32" w:tooltip="Федеральный закон от 05.04.2013 N 44-ФЗ (ред. от 13.06.2023) &quot;О контрактной системе в сфере закупок товаров, работ, услуг для обеспечения государственных и муниципальных нужд&quot; (с изм. и доп., вступ. в силу с 01.07.2023) ------------ Недействующая редакция {КонсультантПлюс}">
        <w:r>
          <w:rPr>
            <w:sz w:val="24"/>
            <w:color w:val="0000ff"/>
          </w:rPr>
          <w:t xml:space="preserve">Частью 19 статьи 95</w:t>
        </w:r>
      </w:hyperlink>
      <w:r>
        <w:rPr>
          <w:sz w:val="24"/>
        </w:rPr>
        <w:t xml:space="preserve"> Закона N 44-ФЗ предусмотрено, что поставщик (подрядчик, исполнитель) вправе принять решение об одностороннем отказе от исполнения контракта по основаниям, предусмотренным Гражданским </w:t>
      </w:r>
      <w:r>
        <w:rPr>
          <w:sz w:val="24"/>
        </w:rPr>
        <w:t xml:space="preserve">кодексом</w:t>
      </w:r>
      <w:r>
        <w:rPr>
          <w:sz w:val="24"/>
        </w:rPr>
        <w:t xml:space="preserve">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pPr>
        <w:pStyle w:val="0"/>
        <w:spacing w:before="240" w:line-rule="auto"/>
        <w:ind w:firstLine="540"/>
        <w:jc w:val="both"/>
      </w:pPr>
      <w:r>
        <w:rPr>
          <w:sz w:val="24"/>
        </w:rPr>
        <w:t xml:space="preserve">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 (</w:t>
      </w:r>
      <w:hyperlink w:history="0" r:id="rId33" w:tooltip="Федеральный закон от 05.04.2013 N 44-ФЗ (ред. от 13.06.2023) &quot;О контрактной системе в сфере закупок товаров, работ, услуг для обеспечения государственных и муниципальных нужд&quot; (с изм. и доп., вступ. в силу с 01.07.2023) ------------ Недействующая редакция {КонсультантПлюс}">
        <w:r>
          <w:rPr>
            <w:sz w:val="24"/>
            <w:color w:val="0000ff"/>
          </w:rPr>
          <w:t xml:space="preserve">часть 21 статьи 95</w:t>
        </w:r>
      </w:hyperlink>
      <w:r>
        <w:rPr>
          <w:sz w:val="24"/>
        </w:rPr>
        <w:t xml:space="preserve"> Закона N 44-ФЗ).</w:t>
      </w:r>
    </w:p>
    <w:p>
      <w:pPr>
        <w:pStyle w:val="0"/>
        <w:spacing w:before="240" w:line-rule="auto"/>
        <w:ind w:firstLine="540"/>
        <w:jc w:val="both"/>
      </w:pPr>
      <w:r>
        <w:rPr>
          <w:sz w:val="24"/>
        </w:rPr>
        <w:t xml:space="preserve">Как установлено судами, усматривается из материалов дела и не оспаривается истцом, работы по разработке проектной документации, в том числе инженерные изыскания, выполнены в полном объеме.</w:t>
      </w:r>
    </w:p>
    <w:p>
      <w:pPr>
        <w:pStyle w:val="0"/>
        <w:spacing w:before="240" w:line-rule="auto"/>
        <w:ind w:firstLine="540"/>
        <w:jc w:val="both"/>
      </w:pPr>
      <w:r>
        <w:rPr>
          <w:sz w:val="24"/>
        </w:rPr>
        <w:t xml:space="preserve">Срок актуальности инженерных изысканий определен </w:t>
      </w:r>
      <w:hyperlink w:history="0" r:id="rId34" w:tooltip="&quot;СП 317.1325800.2017. Свод правил. Инженерно-геодезические изыскания для строительства. Общие правила производства работ&quot; (утв. и введен в действие Приказом Минстроя России от 22.12.2017 N 1702/пр) (ред. от 30.05.2022) {КонсультантПлюс}">
        <w:r>
          <w:rPr>
            <w:sz w:val="24"/>
            <w:color w:val="0000ff"/>
          </w:rPr>
          <w:t xml:space="preserve">СП 317.1325800.2017</w:t>
        </w:r>
      </w:hyperlink>
      <w:r>
        <w:rPr>
          <w:sz w:val="24"/>
        </w:rPr>
        <w:t xml:space="preserve"> "Свод правил. Инженерно-геодезические изыскания для строительства. Общие правила производства работ" (утв. и введен в действие </w:t>
      </w:r>
      <w:hyperlink w:history="0" r:id="rId35" w:tooltip="Приказ Минстроя России от 22.12.2017 N 1702/пр &quot;Об утверждении свода правил &quot;Инженерно-геодезические изыскания для строительства. Общие правила производства работ&quot; {КонсультантПлюс}">
        <w:r>
          <w:rPr>
            <w:sz w:val="24"/>
            <w:color w:val="0000ff"/>
          </w:rPr>
          <w:t xml:space="preserve">приказом</w:t>
        </w:r>
      </w:hyperlink>
      <w:r>
        <w:rPr>
          <w:sz w:val="24"/>
        </w:rPr>
        <w:t xml:space="preserve"> Минстроя России N 1702/пр от 22.12.2017) и </w:t>
      </w:r>
      <w:hyperlink w:history="0" r:id="rId36" w:tooltip="&quot;СП 47.13330.2016. Свод правил. Инженерные изыскания для строительства. Основные положения. Актуализированная редакция СНиП 11-02-96&quot; (утв. и введен в действие Приказом Минстроя России от 30.12.2016 N 1033/пр) (ред. от 30.12.2020) {КонсультантПлюс}">
        <w:r>
          <w:rPr>
            <w:sz w:val="24"/>
            <w:color w:val="0000ff"/>
          </w:rPr>
          <w:t xml:space="preserve">СП 47.13330.2016</w:t>
        </w:r>
      </w:hyperlink>
      <w:r>
        <w:rPr>
          <w:sz w:val="24"/>
        </w:rPr>
        <w:t xml:space="preserve"> "Свод правил. Инженерные изыскания для строительства. Основные положения. Актуализированная редакция СНиП 11-02-96" (утв. и введен в действие </w:t>
      </w:r>
      <w:hyperlink w:history="0" r:id="rId37" w:tooltip="Приказ Минстроя России от 30.12.2016 N 1033/пр (ред. от 10.02.2017) &quot;Об утверждении СП 47.13330 &quot;СНиП 11-02-96 Инженерные изыскания для строительства. Основные положения&quot; {КонсультантПлюс}">
        <w:r>
          <w:rPr>
            <w:sz w:val="24"/>
            <w:color w:val="0000ff"/>
          </w:rPr>
          <w:t xml:space="preserve">приказом</w:t>
        </w:r>
      </w:hyperlink>
      <w:r>
        <w:rPr>
          <w:sz w:val="24"/>
        </w:rPr>
        <w:t xml:space="preserve"> Минстроя России N 1033/пр от 30.12.2016) и составляет для застроенной территории не более 2 лет.</w:t>
      </w:r>
    </w:p>
    <w:p>
      <w:pPr>
        <w:pStyle w:val="0"/>
        <w:spacing w:before="240" w:line-rule="auto"/>
        <w:ind w:firstLine="540"/>
        <w:jc w:val="both"/>
      </w:pPr>
      <w:r>
        <w:rPr>
          <w:sz w:val="24"/>
        </w:rPr>
        <w:t xml:space="preserve">В ходе исполнения контракта подрядчик неоднократно уведомлял заказчика письмами от 20.07.2020 N 2020-Г/2-0858, от 29.06.2021 N 2021-Г/2-0849, от 16.11.2021 N 2021-Г/2-1590, от 17.03.2022 N 2022-Г/2-0375, оставленными без ответа, о невозможности продолжения выполнения работ по контракту, после чего подрядчик приостановил работы ввиду отсутствия утвержденного проекта планировки территории.</w:t>
      </w:r>
    </w:p>
    <w:p>
      <w:pPr>
        <w:pStyle w:val="0"/>
        <w:spacing w:before="240" w:line-rule="auto"/>
        <w:ind w:firstLine="540"/>
        <w:jc w:val="both"/>
      </w:pPr>
      <w:r>
        <w:rPr>
          <w:sz w:val="24"/>
        </w:rPr>
        <w:t xml:space="preserve">В силу </w:t>
      </w:r>
      <w:hyperlink w:history="0" r:id="rId38" w:tooltip="&quot;Градостроительный кодекс Российской Федерации&quot; от 29.12.2004 N 190-ФЗ (ред. от 13.06.2023) ------------ Недействующая редакция {КонсультантПлюс}">
        <w:r>
          <w:rPr>
            <w:sz w:val="24"/>
            <w:color w:val="0000ff"/>
          </w:rPr>
          <w:t xml:space="preserve">пункта 1 части 6 статьи 48</w:t>
        </w:r>
      </w:hyperlink>
      <w:r>
        <w:rPr>
          <w:sz w:val="24"/>
        </w:rPr>
        <w:t xml:space="preserve"> Градостроительного кодекса Российской Федерации (далее - ГрК РФ) в случае, если подготовка проектной документации осуществляется индивидуальным предпринимателем или юридическим лицом на основании договора подряда на подготовку проектной документации, заключенного с застройщиком, техническим заказчиком, лицом, 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юридическому лицу - проект планировки территории и проект межевания территории.</w:t>
      </w:r>
    </w:p>
    <w:p>
      <w:pPr>
        <w:pStyle w:val="0"/>
        <w:spacing w:before="240" w:line-rule="auto"/>
        <w:ind w:firstLine="540"/>
        <w:jc w:val="both"/>
      </w:pPr>
      <w:r>
        <w:rPr>
          <w:sz w:val="24"/>
        </w:rPr>
        <w:t xml:space="preserve">Обязанность по разработке проекта планировки территории возложена действующим градостроительным законодательством Российской Федерации на органы государственной власти, в спорном случае - на Комитет по развитию транспортной инфраструктуры Санкт-Петербурга (далее - Комитет).</w:t>
      </w:r>
    </w:p>
    <w:p>
      <w:pPr>
        <w:pStyle w:val="0"/>
        <w:spacing w:before="240" w:line-rule="auto"/>
        <w:ind w:firstLine="540"/>
        <w:jc w:val="both"/>
      </w:pPr>
      <w:r>
        <w:rPr>
          <w:sz w:val="24"/>
        </w:rPr>
        <w:t xml:space="preserve">Согласно </w:t>
      </w:r>
      <w:hyperlink w:history="0" r:id="rId39" w:tooltip="&quot;Градостроительный кодекс Российской Федерации&quot; от 29.12.2004 N 190-ФЗ (ред. от 13.06.2023) ------------ Недействующая редакция {КонсультантПлюс}">
        <w:r>
          <w:rPr>
            <w:sz w:val="24"/>
            <w:color w:val="0000ff"/>
          </w:rPr>
          <w:t xml:space="preserve">части 11 статьи 48</w:t>
        </w:r>
      </w:hyperlink>
      <w:r>
        <w:rPr>
          <w:sz w:val="24"/>
        </w:rPr>
        <w:t xml:space="preserve"> ГрК РФ подготовка проектной документации в случае подготовки проектной документации линейного объекта осуществляется на основании проекта планировки территории и проекта межевания территории.</w:t>
      </w:r>
    </w:p>
    <w:p>
      <w:pPr>
        <w:pStyle w:val="0"/>
        <w:spacing w:before="240" w:line-rule="auto"/>
        <w:ind w:firstLine="540"/>
        <w:jc w:val="both"/>
      </w:pPr>
      <w:r>
        <w:rPr>
          <w:sz w:val="24"/>
        </w:rPr>
        <w:t xml:space="preserve">При этом в соответствии с </w:t>
      </w:r>
      <w:hyperlink w:history="0" r:id="rId40" w:tooltip="&quot;Градостроительный кодекс Российской Федерации&quot; от 29.12.2004 N 190-ФЗ (ред. от 13.06.2023) ------------ Недействующая редакция {КонсультантПлюс}">
        <w:r>
          <w:rPr>
            <w:sz w:val="24"/>
            <w:color w:val="0000ff"/>
          </w:rPr>
          <w:t xml:space="preserve">частью 11.2 статьи 48</w:t>
        </w:r>
      </w:hyperlink>
      <w:r>
        <w:rPr>
          <w:sz w:val="24"/>
        </w:rPr>
        <w:t xml:space="preserve"> ГрК РФ проектная документация линейного объекта направляется на экспертизу проектной документации при наличии утвержденного проекта планировки территории, предусматривающего строительство, реконструкцию линейного объекта.</w:t>
      </w:r>
    </w:p>
    <w:p>
      <w:pPr>
        <w:pStyle w:val="0"/>
        <w:spacing w:before="240" w:line-rule="auto"/>
        <w:ind w:firstLine="540"/>
        <w:jc w:val="both"/>
      </w:pPr>
      <w:r>
        <w:rPr>
          <w:sz w:val="24"/>
        </w:rPr>
        <w:t xml:space="preserve">Согласно </w:t>
      </w:r>
      <w:hyperlink w:history="0" r:id="rId41" w:tooltip="Ссылка на КонсультантПлюс">
        <w:r>
          <w:rPr>
            <w:sz w:val="24"/>
            <w:color w:val="0000ff"/>
          </w:rPr>
          <w:t xml:space="preserve">пункту 3.5</w:t>
        </w:r>
      </w:hyperlink>
      <w:r>
        <w:rPr>
          <w:sz w:val="24"/>
        </w:rPr>
        <w:t xml:space="preserve"> Положения, утвержденного </w:t>
      </w:r>
      <w:hyperlink w:history="0" r:id="rId42" w:tooltip="Ссылка на КонсультантПлюс">
        <w:r>
          <w:rPr>
            <w:sz w:val="24"/>
            <w:color w:val="0000ff"/>
          </w:rPr>
          <w:t xml:space="preserve">постановлением</w:t>
        </w:r>
      </w:hyperlink>
      <w:r>
        <w:rPr>
          <w:sz w:val="24"/>
        </w:rPr>
        <w:t xml:space="preserve"> Правительства Санкт-Петербурга от 29.06.2010 N 836, Комитет обеспечивает подготовку документации по планировке территории в целях размещения объектов капитального строительства.</w:t>
      </w:r>
    </w:p>
    <w:p>
      <w:pPr>
        <w:pStyle w:val="0"/>
        <w:spacing w:before="240" w:line-rule="auto"/>
        <w:ind w:firstLine="540"/>
        <w:jc w:val="both"/>
      </w:pPr>
      <w:r>
        <w:rPr>
          <w:sz w:val="24"/>
        </w:rPr>
        <w:t xml:space="preserve">Поскольку получить положительное заключение на проектную документацию без утвержденного проекта планировки территории невозможно, Общество направило Учреждению письмо от 08.11.2022 N 2022-Г/2-1205 об отказе от исполнения контракта.</w:t>
      </w:r>
    </w:p>
    <w:p>
      <w:pPr>
        <w:pStyle w:val="0"/>
        <w:spacing w:before="240" w:line-rule="auto"/>
        <w:ind w:firstLine="540"/>
        <w:jc w:val="both"/>
      </w:pPr>
      <w:r>
        <w:rPr>
          <w:sz w:val="24"/>
        </w:rPr>
        <w:t xml:space="preserve">Односторонний отказ при существенном нарушении контракта его контрагентом (заказчиком), выраженный в письме от 08.11.2022 N 2022-Г/2-1205, являлся предметом исследования по делу N РНП-78-1620/22, и решением комиссии Управления Федеральной антимонопольной службы по Санкт-Петербургу от 15.12.2022 признан правомерным.</w:t>
      </w:r>
    </w:p>
    <w:p>
      <w:pPr>
        <w:pStyle w:val="0"/>
        <w:spacing w:before="240" w:line-rule="auto"/>
        <w:ind w:firstLine="540"/>
        <w:jc w:val="both"/>
      </w:pPr>
      <w:r>
        <w:rPr>
          <w:sz w:val="24"/>
        </w:rPr>
        <w:t xml:space="preserve">Оценив и исследовав в порядке, предусмотренном </w:t>
      </w:r>
      <w:hyperlink w:history="0" r:id="rId43" w:tooltip="&quot;Арбитражный процессуальный кодекс Российской Федерации&quot; от 24.07.2002 N 95-ФЗ (ред. от 25.12.2023) (с изм. и доп., вступ. в силу с 05.01.2024) ------------ Недействующая редакция {КонсультантПлюс}">
        <w:r>
          <w:rPr>
            <w:sz w:val="24"/>
            <w:color w:val="0000ff"/>
          </w:rPr>
          <w:t xml:space="preserve">статьей 71</w:t>
        </w:r>
      </w:hyperlink>
      <w:r>
        <w:rPr>
          <w:sz w:val="24"/>
        </w:rPr>
        <w:t xml:space="preserve"> АПК РФ, представленные сторонами в обоснование своих доводов и возражений доказательства, суды установили, что по состоянию на 08.11.2022 заказчик не принимал мер, направленных на устранение обстоятельств, являющихся основанием для приостановления работ, в связи с чем признали обоснованным отказ подрядчика, наделенного пунктом 8.5 контракта, что соответствует </w:t>
      </w:r>
      <w:hyperlink w:history="0" r:id="rId44"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статье 719</w:t>
        </w:r>
      </w:hyperlink>
      <w:r>
        <w:rPr>
          <w:sz w:val="24"/>
        </w:rPr>
        <w:t xml:space="preserve"> ГК РФ.</w:t>
      </w:r>
    </w:p>
    <w:p>
      <w:pPr>
        <w:pStyle w:val="0"/>
        <w:spacing w:before="240" w:line-rule="auto"/>
        <w:ind w:firstLine="540"/>
        <w:jc w:val="both"/>
      </w:pPr>
      <w:r>
        <w:rPr>
          <w:sz w:val="24"/>
        </w:rPr>
        <w:t xml:space="preserve">Кроме того, суд первой инстанции указал, что по информации, содержащейся на официальном сайте Региональной информационной системы Геоинформационная система Санкт-Петербурга, в сети Интернет по адресу https://rgis.spb.ru, работы по подготовке проекта планировки территории Комитетом начаты только 31.01.2022 (Распоряжение Комитета по Градостроительству и архитектуре N 29).</w:t>
      </w:r>
    </w:p>
    <w:p>
      <w:pPr>
        <w:pStyle w:val="0"/>
        <w:spacing w:before="240" w:line-rule="auto"/>
        <w:ind w:firstLine="540"/>
        <w:jc w:val="both"/>
      </w:pPr>
      <w:r>
        <w:rPr>
          <w:sz w:val="24"/>
        </w:rPr>
        <w:t xml:space="preserve">Распоряжением Комитета по Градостроительству и архитектуре от 31.01.2022 N 1-19-29 подготовка документации по планировке территории в составе проекта планировки и проекта межевания территории определена в срок до 25.07.2023.</w:t>
      </w:r>
    </w:p>
    <w:p>
      <w:pPr>
        <w:pStyle w:val="0"/>
        <w:spacing w:before="240" w:line-rule="auto"/>
        <w:ind w:firstLine="540"/>
        <w:jc w:val="both"/>
      </w:pPr>
      <w:r>
        <w:rPr>
          <w:sz w:val="24"/>
        </w:rPr>
        <w:t xml:space="preserve">Суды указали, что определение подготовки проекта планировки территории к 25.07.2023 влечет выполнение дополнительных работ, не предусмотренных контрактом, таких как актуализация инженерных изысканий и проектных решений, обновление технических условий, корректировка ранее разработанной сметной документации, что увеличивает цену контракта более, чем на 10%.</w:t>
      </w:r>
    </w:p>
    <w:p>
      <w:pPr>
        <w:pStyle w:val="0"/>
        <w:spacing w:before="240" w:line-rule="auto"/>
        <w:ind w:firstLine="540"/>
        <w:jc w:val="both"/>
      </w:pPr>
      <w:r>
        <w:rPr>
          <w:sz w:val="24"/>
        </w:rPr>
        <w:t xml:space="preserve">При этом необходимость выполнения дополнительных работ, не предусмотренных контрактом, таких как актуализация инженерных изысканий и проектных решений, обновление технических условий, корректировка ранее разработанной сметной документации, что влечет увеличение цены контракта более, чем на 10%, не представляется возможным в силу норм </w:t>
      </w:r>
      <w:hyperlink w:history="0" r:id="rId45" w:tooltip="Федеральный закон от 05.04.2013 N 44-ФЗ (ред. от 13.06.2023) &quot;О контрактной системе в сфере закупок товаров, работ, услуг для обеспечения государственных и муниципальных нужд&quot; (с изм. и доп., вступ. в силу с 01.07.2023) ------------ Недействующая редакция {КонсультантПлюс}">
        <w:r>
          <w:rPr>
            <w:sz w:val="24"/>
            <w:color w:val="0000ff"/>
          </w:rPr>
          <w:t xml:space="preserve">Закона</w:t>
        </w:r>
      </w:hyperlink>
      <w:r>
        <w:rPr>
          <w:sz w:val="24"/>
        </w:rPr>
        <w:t xml:space="preserve"> N 44-ФЗ.</w:t>
      </w:r>
    </w:p>
    <w:p>
      <w:pPr>
        <w:pStyle w:val="0"/>
        <w:spacing w:before="240" w:line-rule="auto"/>
        <w:ind w:firstLine="540"/>
        <w:jc w:val="both"/>
      </w:pPr>
      <w:r>
        <w:rPr>
          <w:sz w:val="24"/>
        </w:rPr>
        <w:t xml:space="preserve">Довод заявителя жалобы о том, что работы не были приостановлены, отклоняется судом округа в связи с тем, что в соответствии со </w:t>
      </w:r>
      <w:hyperlink w:history="0" r:id="rId46" w:tooltip="&quot;Гражданский кодекс Российской Федерации (часть вторая)&quot; от 26.01.1996 N 14-ФЗ (ред. от 01.07.2021, с изм. от 08.07.2021) (с изм. и доп., вступ. в силу с 01.01.2022) ------------ Недействующая редакция {КонсультантПлюс}">
        <w:r>
          <w:rPr>
            <w:sz w:val="24"/>
            <w:color w:val="0000ff"/>
          </w:rPr>
          <w:t xml:space="preserve">статьей 719</w:t>
        </w:r>
      </w:hyperlink>
      <w:r>
        <w:rPr>
          <w:sz w:val="24"/>
        </w:rPr>
        <w:t xml:space="preserve"> ГК РФ приостановление работ подрядчиком при нарушении заказчиком своих обязанностей по договору подряда, когда это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является правом подрядчика. Кроме того, подрядчиком предпринимались меры к надлежащему исполнению своих обязательств по контракту.</w:t>
      </w:r>
    </w:p>
    <w:p>
      <w:pPr>
        <w:pStyle w:val="0"/>
        <w:spacing w:before="240" w:line-rule="auto"/>
        <w:ind w:firstLine="540"/>
        <w:jc w:val="both"/>
      </w:pPr>
      <w:r>
        <w:rPr>
          <w:sz w:val="24"/>
        </w:rPr>
        <w:t xml:space="preserve">Довод о том, что работы, связанные с проведением государственной экспертизы, не были приостановлены до момента исполнения встречного обязательства, противоречит материалам дела.</w:t>
      </w:r>
    </w:p>
    <w:p>
      <w:pPr>
        <w:pStyle w:val="0"/>
        <w:spacing w:before="240" w:line-rule="auto"/>
        <w:ind w:firstLine="540"/>
        <w:jc w:val="both"/>
      </w:pPr>
      <w:r>
        <w:rPr>
          <w:sz w:val="24"/>
        </w:rPr>
        <w:t xml:space="preserve">Материалы дела исследованы судами полно, всесторонне и объективно, представленным сторонами доказательствам дана надлежащая правовая оценка, изложенные в обжалуемых судебных актах выводы соответствуют обстоятельствам дела и нормам права.</w:t>
      </w:r>
    </w:p>
    <w:p>
      <w:pPr>
        <w:pStyle w:val="0"/>
        <w:spacing w:before="240" w:line-rule="auto"/>
        <w:ind w:firstLine="540"/>
        <w:jc w:val="both"/>
      </w:pPr>
      <w:r>
        <w:rPr>
          <w:sz w:val="24"/>
        </w:rPr>
        <w:t xml:space="preserve">Доводы, приведенные в кассационной жалобе, не свидетельствуют о неправильном применении судами норм материального права. Эти доводы фактически направлены на переоценку представленных в дело доказательств, что в силу </w:t>
      </w:r>
      <w:hyperlink w:history="0" r:id="rId47" w:tooltip="&quot;Арбитражный процессуальный кодекс Российской Федерации&quot; от 24.07.2002 N 95-ФЗ (ред. от 25.12.2023) (с изм. и доп., вступ. в силу с 05.01.2024) ------------ Недействующая редакция {КонсультантПлюс}">
        <w:r>
          <w:rPr>
            <w:sz w:val="24"/>
            <w:color w:val="0000ff"/>
          </w:rPr>
          <w:t xml:space="preserve">статьи 286</w:t>
        </w:r>
      </w:hyperlink>
      <w:r>
        <w:rPr>
          <w:sz w:val="24"/>
        </w:rPr>
        <w:t xml:space="preserve"> АПК РФ не входит в полномочия суда кассационной инстанции.</w:t>
      </w:r>
    </w:p>
    <w:p>
      <w:pPr>
        <w:pStyle w:val="0"/>
        <w:spacing w:before="240" w:line-rule="auto"/>
        <w:ind w:firstLine="540"/>
        <w:jc w:val="both"/>
      </w:pPr>
      <w:r>
        <w:rPr>
          <w:sz w:val="24"/>
        </w:rPr>
        <w:t xml:space="preserve">Суды правильно применили нормы материального права и не допустили нарушений норм процессуального права, являющихся в любом случае основаниями для отмены принятых судебных актов в силу </w:t>
      </w:r>
      <w:hyperlink w:history="0" r:id="rId48" w:tooltip="&quot;Арбитражный процессуальный кодекс Российской Федерации&quot; от 24.07.2002 N 95-ФЗ (ред. от 25.12.2023) (с изм. и доп., вступ. в силу с 05.01.2024) ------------ Недействующая редакция {КонсультантПлюс}">
        <w:r>
          <w:rPr>
            <w:sz w:val="24"/>
            <w:color w:val="0000ff"/>
          </w:rPr>
          <w:t xml:space="preserve">части 4 статьи 288</w:t>
        </w:r>
      </w:hyperlink>
      <w:r>
        <w:rPr>
          <w:sz w:val="24"/>
        </w:rPr>
        <w:t xml:space="preserve"> АПК РФ.</w:t>
      </w:r>
    </w:p>
    <w:p>
      <w:pPr>
        <w:pStyle w:val="0"/>
        <w:spacing w:before="240" w:line-rule="auto"/>
        <w:ind w:firstLine="540"/>
        <w:jc w:val="both"/>
      </w:pPr>
      <w:r>
        <w:rPr>
          <w:sz w:val="24"/>
        </w:rPr>
        <w:t xml:space="preserve">При таких обстоятельствах кассационная инстанция не усматривает оснований для отмены обжалуемых судебных актов и удовлетворения кассационной жалобы.</w:t>
      </w:r>
    </w:p>
    <w:p>
      <w:pPr>
        <w:pStyle w:val="0"/>
        <w:spacing w:before="240" w:line-rule="auto"/>
        <w:ind w:firstLine="540"/>
        <w:jc w:val="both"/>
      </w:pPr>
      <w:r>
        <w:rPr>
          <w:sz w:val="24"/>
        </w:rPr>
        <w:t xml:space="preserve">С учетом изложенного, руководствуясь </w:t>
      </w:r>
      <w:hyperlink w:history="0" r:id="rId49" w:tooltip="&quot;Арбитражный процессуальный кодекс Российской Федерации&quot; от 24.07.2002 N 95-ФЗ (ред. от 25.12.2023) (с изм. и доп., вступ. в силу с 05.01.2024) ------------ Недействующая редакция {КонсультантПлюс}">
        <w:r>
          <w:rPr>
            <w:sz w:val="24"/>
            <w:color w:val="0000ff"/>
          </w:rPr>
          <w:t xml:space="preserve">статьями 286</w:t>
        </w:r>
      </w:hyperlink>
      <w:r>
        <w:rPr>
          <w:sz w:val="24"/>
        </w:rPr>
        <w:t xml:space="preserve">, </w:t>
      </w:r>
      <w:hyperlink w:history="0" r:id="rId50" w:tooltip="&quot;Арбитражный процессуальный кодекс Российской Федерации&quot; от 24.07.2002 N 95-ФЗ (ред. от 25.12.2023) (с изм. и доп., вступ. в силу с 05.01.2024) ------------ Недействующая редакция {КонсультантПлюс}">
        <w:r>
          <w:rPr>
            <w:sz w:val="24"/>
            <w:color w:val="0000ff"/>
          </w:rPr>
          <w:t xml:space="preserve">287</w:t>
        </w:r>
      </w:hyperlink>
      <w:r>
        <w:rPr>
          <w:sz w:val="24"/>
        </w:rPr>
        <w:t xml:space="preserve">, </w:t>
      </w:r>
      <w:hyperlink w:history="0" r:id="rId51" w:tooltip="&quot;Арбитражный процессуальный кодекс Российской Федерации&quot; от 24.07.2002 N 95-ФЗ (ред. от 25.12.2023) (с изм. и доп., вступ. в силу с 05.01.2024) ------------ Недействующая редакция {КонсультантПлюс}">
        <w:r>
          <w:rPr>
            <w:sz w:val="24"/>
            <w:color w:val="0000ff"/>
          </w:rPr>
          <w:t xml:space="preserve">289</w:t>
        </w:r>
      </w:hyperlink>
      <w:r>
        <w:rPr>
          <w:sz w:val="24"/>
        </w:rPr>
        <w:t xml:space="preserve"> Арбитражного процессуального кодекса Российской Федерации, Арбитражный суд Северо-Западного округа</w:t>
      </w:r>
    </w:p>
    <w:p>
      <w:pPr>
        <w:pStyle w:val="0"/>
        <w:jc w:val="center"/>
      </w:pPr>
      <w:r>
        <w:rPr>
          <w:sz w:val="24"/>
        </w:rPr>
      </w:r>
    </w:p>
    <w:p>
      <w:pPr>
        <w:pStyle w:val="0"/>
        <w:jc w:val="center"/>
      </w:pPr>
      <w:r>
        <w:rPr>
          <w:sz w:val="24"/>
        </w:rPr>
        <w:t xml:space="preserve">постановил:</w:t>
      </w:r>
    </w:p>
    <w:p>
      <w:pPr>
        <w:pStyle w:val="0"/>
        <w:jc w:val="center"/>
      </w:pPr>
      <w:r>
        <w:rPr>
          <w:sz w:val="24"/>
        </w:rPr>
      </w:r>
    </w:p>
    <w:p>
      <w:pPr>
        <w:pStyle w:val="0"/>
        <w:ind w:firstLine="540"/>
        <w:jc w:val="both"/>
      </w:pPr>
      <w:hyperlink w:history="0" r:id="rId52" w:tooltip="Решение Арбитражного суда города Санкт-Петербурга и Ленинградской области от 17.07.2023 по делу N А56-17633/2023 Категория спора: Подряд для государственных и муниципальных нужд. Требование: О признании недействительным односторонний отказ от исполнения контракта. Решение: В удовлетворении требования отказано. {КонсультантПлюс}">
        <w:r>
          <w:rPr>
            <w:sz w:val="24"/>
            <w:color w:val="0000ff"/>
          </w:rPr>
          <w:t xml:space="preserve">решение</w:t>
        </w:r>
      </w:hyperlink>
      <w:r>
        <w:rPr>
          <w:sz w:val="24"/>
        </w:rPr>
        <w:t xml:space="preserve"> Арбитражного суда города Санкт-Петербурга и Ленинградской области от 17.07.2023 и </w:t>
      </w:r>
      <w:hyperlink w:history="0" r:id="rId53" w:tooltip="Постановление Тринадцатого арбитражного апелляционного суда от 11.10.2023 N 13АП-28260/2023 по делу N А56-17633/2023 Категория спора: Подряд для государственных нужд. Требования заказчика: О признании недействительным одностороннего отказа от исполнения контракта. Обстоятельства: Отказ от контракта мотивирован тем, что заказчик в составе исходной документации не передал подрядчику проект планировки территории, который необходим для завершения работ и передачи подготовленной документации на экспертизу. Решен {КонсультантПлюс}">
        <w:r>
          <w:rPr>
            <w:sz w:val="24"/>
            <w:color w:val="0000ff"/>
          </w:rPr>
          <w:t xml:space="preserve">постановление</w:t>
        </w:r>
      </w:hyperlink>
      <w:r>
        <w:rPr>
          <w:sz w:val="24"/>
        </w:rPr>
        <w:t xml:space="preserve"> Тринадцатого арбитражного апелляционного суда от 11.10.2023 по делу N А56-17633/2023 оставить без изменения, а кассационную жалобу Санкт-Петербургского государственного казенного учреждения "Дирекция транспортного строительства" - без удовлетворения.</w:t>
      </w:r>
    </w:p>
    <w:p>
      <w:pPr>
        <w:pStyle w:val="0"/>
        <w:ind w:firstLine="540"/>
        <w:jc w:val="both"/>
      </w:pPr>
      <w:r>
        <w:rPr>
          <w:sz w:val="24"/>
        </w:rPr>
      </w:r>
    </w:p>
    <w:p>
      <w:pPr>
        <w:pStyle w:val="0"/>
        <w:jc w:val="right"/>
      </w:pPr>
      <w:r>
        <w:rPr>
          <w:sz w:val="24"/>
        </w:rPr>
        <w:t xml:space="preserve">Председательствующий</w:t>
      </w:r>
    </w:p>
    <w:p>
      <w:pPr>
        <w:pStyle w:val="0"/>
        <w:jc w:val="right"/>
      </w:pPr>
      <w:r>
        <w:rPr>
          <w:sz w:val="24"/>
        </w:rPr>
        <w:t xml:space="preserve">О.К.ЕЛАГИНА</w:t>
      </w:r>
    </w:p>
    <w:p>
      <w:pPr>
        <w:pStyle w:val="0"/>
        <w:jc w:val="right"/>
      </w:pPr>
      <w:r>
        <w:rPr>
          <w:sz w:val="24"/>
        </w:rPr>
      </w:r>
    </w:p>
    <w:p>
      <w:pPr>
        <w:pStyle w:val="0"/>
        <w:jc w:val="right"/>
      </w:pPr>
      <w:r>
        <w:rPr>
          <w:sz w:val="24"/>
        </w:rPr>
        <w:t xml:space="preserve">Судьи</w:t>
      </w:r>
    </w:p>
    <w:p>
      <w:pPr>
        <w:pStyle w:val="0"/>
        <w:jc w:val="right"/>
      </w:pPr>
      <w:r>
        <w:rPr>
          <w:sz w:val="24"/>
        </w:rPr>
        <w:t xml:space="preserve">Н.Н.МАЛЫШЕВА</w:t>
      </w:r>
    </w:p>
    <w:p>
      <w:pPr>
        <w:pStyle w:val="0"/>
        <w:jc w:val="right"/>
      </w:pPr>
      <w:r>
        <w:rPr>
          <w:sz w:val="24"/>
        </w:rPr>
        <w:t xml:space="preserve">Ю.В.ПРЯХИНА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Северо-Западного округа от 15.01.2024 N Ф07-18850/2023 по делу N А56-17633/2023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Северо-Западного округа от 15.01.2024 N Ф07-18850/2023 по делу N А56-17633/2023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ASSZ&amp;n=2498471&amp;date=06.03.2025" TargetMode = "External"/>
	<Relationship Id="rId7" Type="http://schemas.openxmlformats.org/officeDocument/2006/relationships/hyperlink" Target="https://login.consultant.ru/link/?req=doc&amp;base=RAPS013&amp;n=424562&amp;date=06.03.2025" TargetMode = "External"/>
	<Relationship Id="rId8" Type="http://schemas.openxmlformats.org/officeDocument/2006/relationships/hyperlink" Target="https://login.consultant.ru/link/?req=doc&amp;base=ASSZ&amp;n=2498471&amp;date=06.03.2025" TargetMode = "External"/>
	<Relationship Id="rId9" Type="http://schemas.openxmlformats.org/officeDocument/2006/relationships/hyperlink" Target="https://login.consultant.ru/link/?req=doc&amp;base=RAPS013&amp;n=424562&amp;date=06.03.2025" TargetMode = "External"/>
	<Relationship Id="rId10" Type="http://schemas.openxmlformats.org/officeDocument/2006/relationships/hyperlink" Target="https://login.consultant.ru/link/?req=doc&amp;base=ASSZ&amp;n=2498471&amp;date=06.03.2025" TargetMode = "External"/>
	<Relationship Id="rId11" Type="http://schemas.openxmlformats.org/officeDocument/2006/relationships/hyperlink" Target="https://login.consultant.ru/link/?req=doc&amp;base=RAPS013&amp;n=424562&amp;date=06.03.2025" TargetMode = "External"/>
	<Relationship Id="rId12" Type="http://schemas.openxmlformats.org/officeDocument/2006/relationships/hyperlink" Target="https://login.consultant.ru/link/?req=doc&amp;base=LAW&amp;n=465800&amp;date=06.03.2025&amp;dst=101879&amp;field=134" TargetMode = "External"/>
	<Relationship Id="rId13" Type="http://schemas.openxmlformats.org/officeDocument/2006/relationships/hyperlink" Target="https://login.consultant.ru/link/?req=doc&amp;base=LAW&amp;n=465800&amp;date=06.03.2025&amp;dst=101883&amp;field=134" TargetMode = "External"/>
	<Relationship Id="rId14" Type="http://schemas.openxmlformats.org/officeDocument/2006/relationships/hyperlink" Target="https://login.consultant.ru/link/?req=doc&amp;base=LAW&amp;n=465800&amp;date=06.03.2025&amp;dst=691&amp;field=134" TargetMode = "External"/>
	<Relationship Id="rId15" Type="http://schemas.openxmlformats.org/officeDocument/2006/relationships/hyperlink" Target="https://login.consultant.ru/link/?req=doc&amp;base=LAW&amp;n=377025&amp;date=06.03.2025&amp;dst=101094&amp;field=134" TargetMode = "External"/>
	<Relationship Id="rId16" Type="http://schemas.openxmlformats.org/officeDocument/2006/relationships/hyperlink" Target="https://login.consultant.ru/link/?req=doc&amp;base=LAW&amp;n=377025&amp;date=06.03.2025&amp;dst=101022&amp;field=134" TargetMode = "External"/>
	<Relationship Id="rId17" Type="http://schemas.openxmlformats.org/officeDocument/2006/relationships/hyperlink" Target="https://login.consultant.ru/link/?req=doc&amp;base=LAW&amp;n=413281&amp;date=06.03.2025" TargetMode = "External"/>
	<Relationship Id="rId18" Type="http://schemas.openxmlformats.org/officeDocument/2006/relationships/hyperlink" Target="https://login.consultant.ru/link/?req=doc&amp;base=LAW&amp;n=377025&amp;date=06.03.2025&amp;dst=101049&amp;field=134" TargetMode = "External"/>
	<Relationship Id="rId19" Type="http://schemas.openxmlformats.org/officeDocument/2006/relationships/hyperlink" Target="https://login.consultant.ru/link/?req=doc&amp;base=LAW&amp;n=377025&amp;date=06.03.2025&amp;dst=101173&amp;field=134" TargetMode = "External"/>
	<Relationship Id="rId20" Type="http://schemas.openxmlformats.org/officeDocument/2006/relationships/hyperlink" Target="https://login.consultant.ru/link/?req=doc&amp;base=LAW&amp;n=377025&amp;date=06.03.2025&amp;dst=101185&amp;field=134" TargetMode = "External"/>
	<Relationship Id="rId21" Type="http://schemas.openxmlformats.org/officeDocument/2006/relationships/hyperlink" Target="https://login.consultant.ru/link/?req=doc&amp;base=LAW&amp;n=377025&amp;date=06.03.2025&amp;dst=102869&amp;field=134" TargetMode = "External"/>
	<Relationship Id="rId22" Type="http://schemas.openxmlformats.org/officeDocument/2006/relationships/hyperlink" Target="https://login.consultant.ru/link/?req=doc&amp;base=LAW&amp;n=377025&amp;date=06.03.2025&amp;dst=101250&amp;field=134" TargetMode = "External"/>
	<Relationship Id="rId23" Type="http://schemas.openxmlformats.org/officeDocument/2006/relationships/hyperlink" Target="https://login.consultant.ru/link/?req=doc&amp;base=LAW&amp;n=377025&amp;date=06.03.2025&amp;dst=101253&amp;field=134" TargetMode = "External"/>
	<Relationship Id="rId24" Type="http://schemas.openxmlformats.org/officeDocument/2006/relationships/hyperlink" Target="https://login.consultant.ru/link/?req=doc&amp;base=LAW&amp;n=438471&amp;date=06.03.2025&amp;dst=102126&amp;field=134" TargetMode = "External"/>
	<Relationship Id="rId25" Type="http://schemas.openxmlformats.org/officeDocument/2006/relationships/hyperlink" Target="https://login.consultant.ru/link/?req=doc&amp;base=LAW&amp;n=438471&amp;date=06.03.2025&amp;dst=10841&amp;field=134" TargetMode = "External"/>
	<Relationship Id="rId26" Type="http://schemas.openxmlformats.org/officeDocument/2006/relationships/hyperlink" Target="https://login.consultant.ru/link/?req=doc&amp;base=LAW&amp;n=438471&amp;date=06.03.2025" TargetMode = "External"/>
	<Relationship Id="rId27" Type="http://schemas.openxmlformats.org/officeDocument/2006/relationships/hyperlink" Target="https://login.consultant.ru/link/?req=doc&amp;base=LAW&amp;n=413281&amp;date=06.03.2025&amp;dst=101325&amp;field=134" TargetMode = "External"/>
	<Relationship Id="rId28" Type="http://schemas.openxmlformats.org/officeDocument/2006/relationships/hyperlink" Target="https://login.consultant.ru/link/?req=doc&amp;base=LAW&amp;n=377025&amp;date=06.03.2025&amp;dst=101095&amp;field=134" TargetMode = "External"/>
	<Relationship Id="rId29" Type="http://schemas.openxmlformats.org/officeDocument/2006/relationships/hyperlink" Target="https://login.consultant.ru/link/?req=doc&amp;base=LAW&amp;n=438471&amp;date=06.03.2025&amp;dst=10562&amp;field=134" TargetMode = "External"/>
	<Relationship Id="rId30" Type="http://schemas.openxmlformats.org/officeDocument/2006/relationships/hyperlink" Target="https://login.consultant.ru/link/?req=doc&amp;base=LAW&amp;n=377025&amp;date=06.03.2025&amp;dst=101096&amp;field=134" TargetMode = "External"/>
	<Relationship Id="rId31" Type="http://schemas.openxmlformats.org/officeDocument/2006/relationships/hyperlink" Target="https://login.consultant.ru/link/?req=doc&amp;base=LAW&amp;n=377025&amp;date=06.03.2025&amp;dst=101095&amp;field=134" TargetMode = "External"/>
	<Relationship Id="rId32" Type="http://schemas.openxmlformats.org/officeDocument/2006/relationships/hyperlink" Target="https://login.consultant.ru/link/?req=doc&amp;base=LAW&amp;n=413281&amp;date=06.03.2025&amp;dst=101795&amp;field=134" TargetMode = "External"/>
	<Relationship Id="rId33" Type="http://schemas.openxmlformats.org/officeDocument/2006/relationships/hyperlink" Target="https://login.consultant.ru/link/?req=doc&amp;base=LAW&amp;n=413281&amp;date=06.03.2025&amp;dst=101338&amp;field=134" TargetMode = "External"/>
	<Relationship Id="rId34" Type="http://schemas.openxmlformats.org/officeDocument/2006/relationships/hyperlink" Target="https://login.consultant.ru/link/?req=doc&amp;base=STR&amp;n=29023&amp;date=06.03.2025" TargetMode = "External"/>
	<Relationship Id="rId35" Type="http://schemas.openxmlformats.org/officeDocument/2006/relationships/hyperlink" Target="https://login.consultant.ru/link/?req=doc&amp;base=LAW&amp;n=297521&amp;date=06.03.2025" TargetMode = "External"/>
	<Relationship Id="rId36" Type="http://schemas.openxmlformats.org/officeDocument/2006/relationships/hyperlink" Target="https://login.consultant.ru/link/?req=doc&amp;base=STR&amp;n=27119&amp;date=06.03.2025" TargetMode = "External"/>
	<Relationship Id="rId37" Type="http://schemas.openxmlformats.org/officeDocument/2006/relationships/hyperlink" Target="https://login.consultant.ru/link/?req=doc&amp;base=LAW&amp;n=237885&amp;date=06.03.2025" TargetMode = "External"/>
	<Relationship Id="rId38" Type="http://schemas.openxmlformats.org/officeDocument/2006/relationships/hyperlink" Target="https://login.consultant.ru/link/?req=doc&amp;base=LAW&amp;n=449675&amp;date=06.03.2025&amp;dst=102034&amp;field=134" TargetMode = "External"/>
	<Relationship Id="rId39" Type="http://schemas.openxmlformats.org/officeDocument/2006/relationships/hyperlink" Target="https://login.consultant.ru/link/?req=doc&amp;base=LAW&amp;n=449675&amp;date=06.03.2025&amp;dst=3627&amp;field=134" TargetMode = "External"/>
	<Relationship Id="rId40" Type="http://schemas.openxmlformats.org/officeDocument/2006/relationships/hyperlink" Target="https://login.consultant.ru/link/?req=doc&amp;base=LAW&amp;n=449675&amp;date=06.03.2025&amp;dst=102040&amp;field=134" TargetMode = "External"/>
	<Relationship Id="rId41" Type="http://schemas.openxmlformats.org/officeDocument/2006/relationships/hyperlink" Target="https://login.consultant.ru/link/?req=doc&amp;base=SPB&amp;n=274488&amp;date=06.03.2025&amp;dst=47&amp;field=134" TargetMode = "External"/>
	<Relationship Id="rId42" Type="http://schemas.openxmlformats.org/officeDocument/2006/relationships/hyperlink" Target="https://login.consultant.ru/link/?req=doc&amp;base=SPB&amp;n=274488&amp;date=06.03.2025" TargetMode = "External"/>
	<Relationship Id="rId43" Type="http://schemas.openxmlformats.org/officeDocument/2006/relationships/hyperlink" Target="https://login.consultant.ru/link/?req=doc&amp;base=LAW&amp;n=465800&amp;date=06.03.2025&amp;dst=100419&amp;field=134" TargetMode = "External"/>
	<Relationship Id="rId44" Type="http://schemas.openxmlformats.org/officeDocument/2006/relationships/hyperlink" Target="https://login.consultant.ru/link/?req=doc&amp;base=LAW&amp;n=377025&amp;date=06.03.2025&amp;dst=101094&amp;field=134" TargetMode = "External"/>
	<Relationship Id="rId45" Type="http://schemas.openxmlformats.org/officeDocument/2006/relationships/hyperlink" Target="https://login.consultant.ru/link/?req=doc&amp;base=LAW&amp;n=413281&amp;date=06.03.2025" TargetMode = "External"/>
	<Relationship Id="rId46" Type="http://schemas.openxmlformats.org/officeDocument/2006/relationships/hyperlink" Target="https://login.consultant.ru/link/?req=doc&amp;base=LAW&amp;n=377025&amp;date=06.03.2025&amp;dst=101094&amp;field=134" TargetMode = "External"/>
	<Relationship Id="rId47" Type="http://schemas.openxmlformats.org/officeDocument/2006/relationships/hyperlink" Target="https://login.consultant.ru/link/?req=doc&amp;base=LAW&amp;n=465800&amp;date=06.03.2025&amp;dst=101882&amp;field=134" TargetMode = "External"/>
	<Relationship Id="rId48" Type="http://schemas.openxmlformats.org/officeDocument/2006/relationships/hyperlink" Target="https://login.consultant.ru/link/?req=doc&amp;base=LAW&amp;n=465800&amp;date=06.03.2025&amp;dst=1085&amp;field=134" TargetMode = "External"/>
	<Relationship Id="rId49" Type="http://schemas.openxmlformats.org/officeDocument/2006/relationships/hyperlink" Target="https://login.consultant.ru/link/?req=doc&amp;base=LAW&amp;n=465800&amp;date=06.03.2025&amp;dst=101882&amp;field=134" TargetMode = "External"/>
	<Relationship Id="rId50" Type="http://schemas.openxmlformats.org/officeDocument/2006/relationships/hyperlink" Target="https://login.consultant.ru/link/?req=doc&amp;base=LAW&amp;n=465800&amp;date=06.03.2025&amp;dst=101886&amp;field=134" TargetMode = "External"/>
	<Relationship Id="rId51" Type="http://schemas.openxmlformats.org/officeDocument/2006/relationships/hyperlink" Target="https://login.consultant.ru/link/?req=doc&amp;base=LAW&amp;n=465800&amp;date=06.03.2025&amp;dst=101910&amp;field=134" TargetMode = "External"/>
	<Relationship Id="rId52" Type="http://schemas.openxmlformats.org/officeDocument/2006/relationships/hyperlink" Target="https://login.consultant.ru/link/?req=doc&amp;base=ASSZ&amp;n=2498471&amp;date=06.03.2025" TargetMode = "External"/>
	<Relationship Id="rId53" Type="http://schemas.openxmlformats.org/officeDocument/2006/relationships/hyperlink" Target="https://login.consultant.ru/link/?req=doc&amp;base=RAPS013&amp;n=424562&amp;date=06.03.2025"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Северо-Западного округа от 15.01.2024 N Ф07-18850/2023 по делу N А56-17633/2023
Требование: О признании отказа подрядчика от контракта недействительным.
Обстоятельства: Заказчик ссылается на неправомерный отказ от договора подрядчиком, мотивированный неисполнением заказчиком встречной обязанности представить в качестве исходных данных проект планировки территории.
Решение: В удовлетворении требования отказано, поскольку заказчик не принимал мер, направленных на устранение обс</dc:title>
  <dcterms:created xsi:type="dcterms:W3CDTF">2025-03-06T05:40:08Z</dcterms:created>
</cp:coreProperties>
</file>